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54AADA6B" w14:textId="77777777" w:rsidR="00EE4EAB" w:rsidRDefault="00000000">
      <w:pPr>
        <w:pStyle w:val="Nagwek2"/>
        <w:ind w:left="-5"/>
      </w:pPr>
      <w:bookmarkStart w:id="67" w:name="_Toc1851337"/>
      <w:r>
        <w:t xml:space="preserve">Prototypowanie </w:t>
      </w:r>
      <w:bookmarkEnd w:id="67"/>
    </w:p>
    <w:p w14:paraId="398A171C" w14:textId="77777777" w:rsidR="00EE4EAB" w:rsidRDefault="00000000">
      <w:pPr>
        <w:spacing w:after="0"/>
        <w:ind w:left="0" w:right="5609" w:firstLine="0"/>
        <w:jc w:val="right"/>
      </w:pPr>
      <w:r>
        <w:rPr>
          <w:b/>
          <w:sz w:val="18"/>
        </w:rPr>
        <w:t xml:space="preserve"> </w:t>
      </w:r>
    </w:p>
    <w:tbl>
      <w:tblPr>
        <w:tblStyle w:val="TableGrid"/>
        <w:tblW w:w="9658" w:type="dxa"/>
        <w:tblInd w:w="-27" w:type="dxa"/>
        <w:tblCellMar>
          <w:top w:w="37" w:type="dxa"/>
          <w:left w:w="29" w:type="dxa"/>
          <w:right w:w="13" w:type="dxa"/>
        </w:tblCellMar>
        <w:tblLook w:val="04A0" w:firstRow="1" w:lastRow="0" w:firstColumn="1" w:lastColumn="0" w:noHBand="0" w:noVBand="1"/>
      </w:tblPr>
      <w:tblGrid>
        <w:gridCol w:w="1200"/>
        <w:gridCol w:w="1565"/>
        <w:gridCol w:w="1431"/>
        <w:gridCol w:w="868"/>
        <w:gridCol w:w="497"/>
        <w:gridCol w:w="1368"/>
        <w:gridCol w:w="435"/>
        <w:gridCol w:w="934"/>
        <w:gridCol w:w="1360"/>
      </w:tblGrid>
      <w:tr w:rsidR="00EE4EAB" w14:paraId="5999D9A5" w14:textId="77777777">
        <w:trPr>
          <w:trHeight w:val="260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A557A8" w14:textId="77777777" w:rsidR="00EE4EAB" w:rsidRDefault="00000000">
            <w:pPr>
              <w:spacing w:after="0"/>
              <w:ind w:left="0" w:right="26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206A46" w14:textId="77777777" w:rsidR="00EE4EAB" w:rsidRDefault="00000000">
            <w:pPr>
              <w:spacing w:after="0"/>
              <w:ind w:left="0" w:right="19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105E3C50" w14:textId="77777777">
        <w:trPr>
          <w:trHeight w:val="518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F688D" w14:textId="77777777" w:rsidR="00EE4EAB" w:rsidRDefault="00000000">
            <w:pPr>
              <w:spacing w:after="0"/>
              <w:ind w:left="0" w:right="26" w:firstLine="0"/>
              <w:jc w:val="center"/>
            </w:pPr>
            <w:r>
              <w:rPr>
                <w:b/>
                <w:sz w:val="18"/>
              </w:rPr>
              <w:t xml:space="preserve">Prototypowanie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AF2B7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S1-62-PROTOT-2 N1-62-PROTOT-2 </w:t>
            </w:r>
          </w:p>
        </w:tc>
      </w:tr>
      <w:tr w:rsidR="00EE4EAB" w14:paraId="19B0BA07" w14:textId="77777777">
        <w:trPr>
          <w:trHeight w:val="260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3C76C6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535C3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b/>
                <w:sz w:val="18"/>
              </w:rPr>
              <w:t xml:space="preserve">wybieralny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0C5DA4" w14:textId="77777777" w:rsidR="00EE4EAB" w:rsidRDefault="00000000">
            <w:pPr>
              <w:spacing w:after="0"/>
              <w:ind w:left="0" w:right="17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15AAE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423C581F" w14:textId="77777777">
        <w:trPr>
          <w:trHeight w:val="768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DD58D7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5EFB8" w14:textId="7C6E3EA3" w:rsidR="00CD64E7" w:rsidRDefault="00000000" w:rsidP="00CD64E7">
            <w:pPr>
              <w:spacing w:after="2" w:line="275" w:lineRule="auto"/>
              <w:ind w:left="216" w:firstLine="0"/>
            </w:pPr>
            <w:r>
              <w:rPr>
                <w:b/>
                <w:sz w:val="18"/>
              </w:rPr>
              <w:t xml:space="preserve">media </w:t>
            </w:r>
          </w:p>
          <w:p w14:paraId="29EA47DA" w14:textId="64DF646B" w:rsidR="00EE4EAB" w:rsidRDefault="00EE4EAB">
            <w:pPr>
              <w:spacing w:after="0"/>
              <w:ind w:left="0" w:right="19" w:firstLine="0"/>
              <w:jc w:val="center"/>
            </w:pP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D34027" w14:textId="77777777" w:rsidR="00EE4EAB" w:rsidRDefault="00000000">
            <w:pPr>
              <w:spacing w:after="0"/>
              <w:ind w:left="0" w:right="21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0D65D" w14:textId="77777777" w:rsidR="00EE4EAB" w:rsidRDefault="00000000">
            <w:pPr>
              <w:spacing w:after="0"/>
              <w:ind w:left="0" w:right="17" w:firstLine="0"/>
              <w:jc w:val="center"/>
            </w:pPr>
            <w:r>
              <w:rPr>
                <w:b/>
                <w:sz w:val="18"/>
              </w:rPr>
              <w:t xml:space="preserve">studia I stopnia </w:t>
            </w:r>
          </w:p>
        </w:tc>
      </w:tr>
      <w:tr w:rsidR="00EE4EAB" w14:paraId="247D5173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0D68CB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9EAD2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b/>
                <w:sz w:val="18"/>
              </w:rPr>
              <w:t xml:space="preserve">praktyczny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32412D" w14:textId="77777777" w:rsidR="00EE4EAB" w:rsidRDefault="00000000">
            <w:pPr>
              <w:spacing w:after="0"/>
              <w:ind w:left="0" w:right="19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B0861" w14:textId="77777777" w:rsidR="00EE4EAB" w:rsidRDefault="00000000">
            <w:pPr>
              <w:spacing w:after="0"/>
              <w:ind w:left="521" w:right="539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5919F460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AA64F1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8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F6C4A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sz w:val="18"/>
              </w:rPr>
              <w:t xml:space="preserve">Game design </w:t>
            </w:r>
          </w:p>
        </w:tc>
      </w:tr>
      <w:tr w:rsidR="00EE4EAB" w14:paraId="3A4CDCE1" w14:textId="77777777">
        <w:trPr>
          <w:trHeight w:val="262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C0E822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6485B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b/>
                <w:color w:val="808080"/>
                <w:sz w:val="18"/>
              </w:rPr>
              <w:t>pierwszy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628307" w14:textId="77777777" w:rsidR="00EE4EAB" w:rsidRDefault="00000000">
            <w:pPr>
              <w:spacing w:after="0"/>
              <w:ind w:left="0" w:right="21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997AE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b/>
                <w:sz w:val="18"/>
              </w:rPr>
              <w:t xml:space="preserve">drugi </w:t>
            </w:r>
          </w:p>
        </w:tc>
      </w:tr>
      <w:tr w:rsidR="00EE4EAB" w14:paraId="24DE348D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C28885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FC158F" w14:textId="77777777" w:rsidR="00EE4EAB" w:rsidRDefault="00000000">
            <w:pPr>
              <w:spacing w:after="0"/>
              <w:ind w:left="0" w:right="13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D3CE1C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970D19" w14:textId="77777777" w:rsidR="00EE4EAB" w:rsidRDefault="00000000">
            <w:pPr>
              <w:spacing w:after="0"/>
              <w:ind w:left="0" w:right="13" w:firstLine="0"/>
              <w:jc w:val="center"/>
            </w:pPr>
            <w:r>
              <w:rPr>
                <w:b/>
                <w:sz w:val="18"/>
              </w:rPr>
              <w:t xml:space="preserve">Wybierz element </w:t>
            </w:r>
          </w:p>
        </w:tc>
      </w:tr>
      <w:tr w:rsidR="00EE4EAB" w14:paraId="6F6F130D" w14:textId="77777777">
        <w:trPr>
          <w:trHeight w:val="515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92CF19" w14:textId="77777777" w:rsidR="00EE4EAB" w:rsidRDefault="00000000">
            <w:pPr>
              <w:spacing w:after="0"/>
              <w:ind w:left="77" w:right="146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FF608" w14:textId="77777777" w:rsidR="00EE4EAB" w:rsidRDefault="00000000">
            <w:pPr>
              <w:spacing w:after="0"/>
              <w:ind w:left="25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E65CD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43B98" w14:textId="77777777" w:rsidR="00EE4EAB" w:rsidRDefault="00000000">
            <w:pPr>
              <w:spacing w:after="0"/>
              <w:ind w:left="27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6BDEB8E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3ADBF3" w14:textId="77777777" w:rsidR="00EE4EAB" w:rsidRDefault="00000000">
            <w:pPr>
              <w:spacing w:after="0"/>
              <w:ind w:left="77" w:right="146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4C76D" w14:textId="77777777" w:rsidR="00EE4EAB" w:rsidRDefault="00000000">
            <w:pPr>
              <w:spacing w:after="0"/>
              <w:ind w:left="25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38BBF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sz w:val="18"/>
              </w:rPr>
              <w:t xml:space="preserve">18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4EE7D" w14:textId="77777777" w:rsidR="00EE4EAB" w:rsidRDefault="00000000">
            <w:pPr>
              <w:spacing w:after="0"/>
              <w:ind w:left="27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DC0AA5F" w14:textId="77777777">
        <w:trPr>
          <w:trHeight w:val="260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027EA0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4C3E60F0" w14:textId="77777777">
        <w:trPr>
          <w:trHeight w:val="2302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354EE14" w14:textId="77777777" w:rsidR="00EE4EAB" w:rsidRDefault="00000000">
            <w:pPr>
              <w:spacing w:after="0"/>
              <w:ind w:left="77" w:right="28" w:firstLine="0"/>
              <w:jc w:val="left"/>
            </w:pPr>
            <w:r>
              <w:rPr>
                <w:sz w:val="18"/>
              </w:rPr>
              <w:t xml:space="preserve">Celem zajęć jest umożliwienie studentowi uzyskania wiedzy, umiejętności i kompetencji społecznych w takim zakresie, by po  ukończeniu kursu student dysponował wiedzą z zakresu prototypowania elementów gier komputerowych w kontekście realizacji projektu interaktywnego, posiadał wiedzę na temat roli prototypów w procesie budowania skutecznej komunikacji na temat możliwości i ograniczeń związanych z różnorodnymi aspektami projektu interaktywnego zarówno wewnątrz zespołu projektowego jak i poza nim, potrafił kompetentnie poruszać się w tematyce popularnych narzędzi programistycznych stosowanych do prototypowania gier komputerowych i znał ich możliwości i ograniczenia oraz przydatność w typowych sytuacjach problemowych, Potrafił samodzielnie zdiagnozować kluczowe dla projektu obszary ryzyka, zaproponować odpowiednie formy ich weryfikacji, przeprowadzić proces prototypowania z zastosowaniem wybranego narzędzia oraz dokonać trafnej oceny wyników z uwzględnieniem założonych parametrów. </w:t>
            </w:r>
          </w:p>
        </w:tc>
      </w:tr>
      <w:tr w:rsidR="00EE4EAB" w14:paraId="7E0FFD3D" w14:textId="77777777">
        <w:trPr>
          <w:trHeight w:val="1314"/>
        </w:trPr>
        <w:tc>
          <w:tcPr>
            <w:tcW w:w="41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019B1B4" w14:textId="77777777" w:rsidR="00EE4EAB" w:rsidRDefault="00000000">
            <w:pPr>
              <w:spacing w:after="15"/>
              <w:ind w:left="0" w:right="25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44C30A0D" w14:textId="77777777" w:rsidR="00EE4EAB" w:rsidRDefault="00000000">
            <w:pPr>
              <w:spacing w:after="17"/>
              <w:ind w:left="20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09656F64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36EFA91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38F38BC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88056A5" w14:textId="77777777" w:rsidR="00EE4EAB" w:rsidRDefault="00000000">
            <w:pPr>
              <w:spacing w:after="0"/>
              <w:ind w:left="137" w:right="113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E88C351" w14:textId="77777777" w:rsidR="00EE4EAB" w:rsidRDefault="00000000">
            <w:pPr>
              <w:spacing w:after="2" w:line="275" w:lineRule="auto"/>
              <w:ind w:left="25" w:right="38" w:firstLine="0"/>
              <w:jc w:val="center"/>
            </w:pPr>
            <w:r>
              <w:rPr>
                <w:b/>
                <w:sz w:val="18"/>
              </w:rPr>
              <w:t xml:space="preserve">Odniesienia do charakterysty k poziomów </w:t>
            </w:r>
          </w:p>
          <w:p w14:paraId="5FB9F049" w14:textId="77777777" w:rsidR="00EE4EAB" w:rsidRDefault="00000000">
            <w:pPr>
              <w:spacing w:after="15"/>
              <w:ind w:left="0" w:right="16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7B441614" w14:textId="77777777" w:rsidR="00EE4EAB" w:rsidRDefault="00000000">
            <w:pPr>
              <w:spacing w:after="0"/>
              <w:ind w:left="0" w:right="14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7BAF3C62" w14:textId="77777777">
        <w:trPr>
          <w:trHeight w:val="1591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67316A7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8EA7F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definiuje i omawia fazy tworzenia gier komputerowych – preprodukcyjną, produkcyjną i postprodukcyjną wraz z metodyką ich realizacji i rolą prototypowania w cyklu produkcyjnym.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8DE3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Prezentacja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1697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Projekt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7449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MK1P_W03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EDFD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P6S_WG </w:t>
            </w:r>
          </w:p>
        </w:tc>
      </w:tr>
      <w:tr w:rsidR="00EE4EAB" w14:paraId="44CD2165" w14:textId="77777777">
        <w:trPr>
          <w:trHeight w:val="1347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CAC7BA8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09FD7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Właściwie określa priorytety służące realizacji projektu gry komputerowej realizowanej na potrzeby własne lub w ramach zleceń.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0E3B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Prezentacja, dyskusja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C601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projekt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FE55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MK1P_U04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E2C6C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P6S_UU </w:t>
            </w:r>
          </w:p>
          <w:p w14:paraId="598B01B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P6S_UK </w:t>
            </w:r>
          </w:p>
        </w:tc>
      </w:tr>
      <w:tr w:rsidR="00EE4EAB" w14:paraId="5EBC7C28" w14:textId="77777777">
        <w:trPr>
          <w:trHeight w:val="2105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C86F2B7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A13D9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Potrafi terminowo zrealizować prototyp wybranego aspektu gry komputerowej, dostarczając na czas efekty swojej pracy wraz z jej krytyczną oceną w formie prezentacji, zgodne z wymaganiami stawianymi projektom interaktywnym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83C9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Projekt zaliczeniowy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9D8C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Prezentacja prototypu gry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303B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MK1P_K01 </w:t>
            </w:r>
          </w:p>
          <w:p w14:paraId="7BA9EF4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MK1P_K04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E025D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P6U_K </w:t>
            </w:r>
          </w:p>
          <w:p w14:paraId="68BD8CC3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P6S_KR </w:t>
            </w:r>
          </w:p>
          <w:p w14:paraId="4ACE130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P6S_KK </w:t>
            </w:r>
          </w:p>
        </w:tc>
      </w:tr>
    </w:tbl>
    <w:p w14:paraId="7FF40676" w14:textId="77777777" w:rsidR="00EE4EAB" w:rsidRDefault="00EE4EAB">
      <w:pPr>
        <w:spacing w:after="0"/>
        <w:ind w:left="-1133" w:right="838" w:firstLine="0"/>
        <w:jc w:val="left"/>
      </w:pPr>
    </w:p>
    <w:tbl>
      <w:tblPr>
        <w:tblStyle w:val="TableGrid"/>
        <w:tblW w:w="9658" w:type="dxa"/>
        <w:tblInd w:w="-27" w:type="dxa"/>
        <w:tblCellMar>
          <w:top w:w="54" w:type="dxa"/>
          <w:left w:w="29" w:type="dxa"/>
          <w:right w:w="41" w:type="dxa"/>
        </w:tblCellMar>
        <w:tblLook w:val="04A0" w:firstRow="1" w:lastRow="0" w:firstColumn="1" w:lastColumn="0" w:noHBand="0" w:noVBand="1"/>
      </w:tblPr>
      <w:tblGrid>
        <w:gridCol w:w="2766"/>
        <w:gridCol w:w="2299"/>
        <w:gridCol w:w="1151"/>
        <w:gridCol w:w="1149"/>
        <w:gridCol w:w="1148"/>
        <w:gridCol w:w="1145"/>
      </w:tblGrid>
      <w:tr w:rsidR="00EE4EAB" w14:paraId="18F432CB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FA8C75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  <w:tr w:rsidR="00EE4EAB" w14:paraId="10D92C0B" w14:textId="77777777">
        <w:trPr>
          <w:trHeight w:val="1355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D559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Przedmiot zapoznaje studentów z podstawami tworzenia prototypów gier komputerowych oraz weryfikacji rozwiązań szczegółowych problemów pojawiających się na wstępnym etapie produkcji. W trakcie zajęć poruszane są tematy celowości i zasadności prototypowania, różnorodności typów i modeli prototypów oraz dobrych praktyk związanych z procesem prototypowania i oceną wyników.  Przedmiot skupia się na praktycznym zastosowaniu wiedzy w ramach realizacji prototypu określonego aspektu gry z wykorzystaniem wybranego narzędzia. </w:t>
            </w:r>
          </w:p>
        </w:tc>
      </w:tr>
      <w:tr w:rsidR="00EE4EAB" w14:paraId="7611C30A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67B5FA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0FB4753F" w14:textId="77777777">
        <w:trPr>
          <w:trHeight w:val="312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43F29" w14:textId="77777777" w:rsidR="00EE4EAB" w:rsidRDefault="00000000">
            <w:pPr>
              <w:spacing w:after="0" w:line="278" w:lineRule="auto"/>
              <w:ind w:left="360" w:firstLine="0"/>
              <w:jc w:val="left"/>
            </w:pPr>
            <w:r>
              <w:rPr>
                <w:sz w:val="18"/>
              </w:rPr>
              <w:t xml:space="preserve">Definicja prototypu i prototypowania. Podstawy teoretyczne, rola w procesie kształtowania wizji gry, rola w procesie zarządzania ryzykiem, miejsce i funkcje w procesie produkcji gry komputerowej.  </w:t>
            </w:r>
          </w:p>
          <w:p w14:paraId="60A7CA5B" w14:textId="77777777" w:rsidR="00EE4EAB" w:rsidRDefault="00000000">
            <w:pPr>
              <w:spacing w:after="0" w:line="275" w:lineRule="auto"/>
              <w:ind w:left="360" w:firstLine="0"/>
              <w:jc w:val="left"/>
            </w:pPr>
            <w:r>
              <w:rPr>
                <w:sz w:val="18"/>
              </w:rPr>
              <w:t xml:space="preserve">Rodzaje prototypów ze względu na funkcje: prototypy mechaniki i funkcjonalności, prototypy dynamiki, prototypy zdarzeń, prototypy formy, prototypy weryfikujące wartość pomysłu i ryzyka inwestycji. </w:t>
            </w:r>
          </w:p>
          <w:p w14:paraId="200AE352" w14:textId="77777777" w:rsidR="00EE4EAB" w:rsidRDefault="00000000">
            <w:pPr>
              <w:spacing w:after="0" w:line="278" w:lineRule="auto"/>
              <w:ind w:left="360" w:firstLine="0"/>
              <w:jc w:val="left"/>
            </w:pPr>
            <w:r>
              <w:rPr>
                <w:sz w:val="18"/>
              </w:rPr>
              <w:t xml:space="preserve">Rodzaje prototypów ze względu na stopień skomplikowania oraz obszar i dynamikę weryfikacji. Prototypy horyzontalne i wertykalne. Prototypowanie błyskawiczne i ewolucyjne.  </w:t>
            </w:r>
          </w:p>
          <w:p w14:paraId="5CBF8798" w14:textId="77777777" w:rsidR="00EE4EAB" w:rsidRDefault="00000000">
            <w:pPr>
              <w:spacing w:after="2" w:line="276" w:lineRule="auto"/>
              <w:ind w:left="360" w:firstLine="0"/>
              <w:jc w:val="left"/>
            </w:pPr>
            <w:r>
              <w:rPr>
                <w:sz w:val="18"/>
              </w:rPr>
              <w:t xml:space="preserve">Popularne metody prototypowania: szkice statyczne i dynamiczne, scenariusze i case’y, symulacje przekrojowe i punktowe, symulacje pełne.  </w:t>
            </w:r>
          </w:p>
          <w:p w14:paraId="3AC1C502" w14:textId="77777777" w:rsidR="00EE4EAB" w:rsidRDefault="00000000">
            <w:pPr>
              <w:spacing w:after="0" w:line="275" w:lineRule="auto"/>
              <w:ind w:left="360" w:firstLine="0"/>
              <w:jc w:val="left"/>
            </w:pPr>
            <w:r>
              <w:rPr>
                <w:sz w:val="18"/>
              </w:rPr>
              <w:t xml:space="preserve">Współczesne narzędzia służące do prototypowania: narzędzia fizyczne do prototypowania mechaniki, programy do prototypowania interfejsu użytkownika (Axure), silniki gry do prototypowania gameplaya i warstwy audio-wizualnej (Unreal Engine, Unity). Zalety, ograniczenia, zasadność stosowania odpowiednich narzędzi w typowych dla produkcji gier sytuacjach. </w:t>
            </w:r>
          </w:p>
          <w:p w14:paraId="36AFC20E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Formalne aspekty tworzenia i weryfikacji prototypów: dokumentacja, obiektywne sposoby oceny, podejmowanie decyzji. </w:t>
            </w:r>
          </w:p>
        </w:tc>
      </w:tr>
      <w:tr w:rsidR="00EE4EAB" w14:paraId="1543F5D3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902A36B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3651F925" w14:textId="77777777">
        <w:trPr>
          <w:trHeight w:val="34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A4ABC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1E184C47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1CFDB2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Treści kształcenia – Wybierz element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32B09872" w14:textId="77777777">
        <w:trPr>
          <w:trHeight w:val="34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30E19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74208F8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BD50C3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540AB5D5" w14:textId="77777777">
        <w:trPr>
          <w:trHeight w:val="1100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F0961" w14:textId="77777777" w:rsidR="00EE4EAB" w:rsidRDefault="00000000">
            <w:pPr>
              <w:spacing w:after="15"/>
              <w:ind w:left="360" w:firstLine="0"/>
              <w:jc w:val="left"/>
            </w:pPr>
            <w:r>
              <w:rPr>
                <w:sz w:val="18"/>
              </w:rPr>
              <w:t xml:space="preserve">Adams E., Projektowanie gier : podstawy, Helion, Gliwice 2011 </w:t>
            </w:r>
          </w:p>
          <w:p w14:paraId="47F7AEAC" w14:textId="77777777" w:rsidR="00EE4EAB" w:rsidRDefault="00000000">
            <w:pPr>
              <w:spacing w:after="12"/>
              <w:ind w:left="360" w:firstLine="0"/>
              <w:jc w:val="left"/>
            </w:pPr>
            <w:r>
              <w:rPr>
                <w:sz w:val="18"/>
              </w:rPr>
              <w:t xml:space="preserve">Błaszczyk T., Tworzenie gier dla początkujących 3D, iTst@rt Wydawnictwo informatyczne, Piekary Śląskie 2020 </w:t>
            </w:r>
          </w:p>
          <w:p w14:paraId="03F4CD90" w14:textId="77777777" w:rsidR="00EE4EAB" w:rsidRDefault="00000000">
            <w:pPr>
              <w:spacing w:after="17"/>
              <w:ind w:left="358" w:firstLine="0"/>
              <w:jc w:val="left"/>
            </w:pPr>
            <w:r>
              <w:rPr>
                <w:sz w:val="18"/>
              </w:rPr>
              <w:t xml:space="preserve">Geig M., Unity : przewodnik projektanta gier, Helion, Gliwice 2020 </w:t>
            </w:r>
          </w:p>
          <w:p w14:paraId="617EAEF4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Lee J., Unreal Engine : nauka pisania gier dla kreatywnych, Helion, Gliwice 2017 </w:t>
            </w:r>
          </w:p>
        </w:tc>
      </w:tr>
      <w:tr w:rsidR="00EE4EAB" w14:paraId="11D03F4A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9EE9B8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:rsidRPr="00172B18" w14:paraId="33CC5EEE" w14:textId="77777777">
        <w:trPr>
          <w:trHeight w:val="2617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8BFCA" w14:textId="77777777" w:rsidR="00EE4EAB" w:rsidRPr="00CD64E7" w:rsidRDefault="00000000">
            <w:pPr>
              <w:spacing w:after="15"/>
              <w:ind w:left="360" w:firstLine="0"/>
              <w:jc w:val="left"/>
              <w:rPr>
                <w:lang w:val="en-US"/>
              </w:rPr>
            </w:pPr>
            <w:r w:rsidRPr="00CD64E7">
              <w:rPr>
                <w:sz w:val="18"/>
                <w:lang w:val="en-US"/>
              </w:rPr>
              <w:t xml:space="preserve">Gibson J., Introduction to Game Design, Prototyping, and Development: From Concept to Playable Game - with Unity and C#, </w:t>
            </w:r>
          </w:p>
          <w:p w14:paraId="39829448" w14:textId="77777777" w:rsidR="00EE4EAB" w:rsidRPr="00CD64E7" w:rsidRDefault="00000000">
            <w:pPr>
              <w:spacing w:after="15"/>
              <w:ind w:left="360" w:firstLine="0"/>
              <w:jc w:val="left"/>
              <w:rPr>
                <w:lang w:val="en-US"/>
              </w:rPr>
            </w:pPr>
            <w:r w:rsidRPr="00CD64E7">
              <w:rPr>
                <w:sz w:val="18"/>
                <w:lang w:val="en-US"/>
              </w:rPr>
              <w:t xml:space="preserve">Addison Wesley, 2014 </w:t>
            </w:r>
          </w:p>
          <w:p w14:paraId="617F5736" w14:textId="77777777" w:rsidR="00EE4EAB" w:rsidRPr="00CD64E7" w:rsidRDefault="00000000">
            <w:pPr>
              <w:spacing w:after="2" w:line="275" w:lineRule="auto"/>
              <w:ind w:left="360" w:firstLine="0"/>
              <w:rPr>
                <w:lang w:val="en-US"/>
              </w:rPr>
            </w:pPr>
            <w:r w:rsidRPr="00CD64E7">
              <w:rPr>
                <w:sz w:val="18"/>
                <w:lang w:val="en-US"/>
              </w:rPr>
              <w:t xml:space="preserve">Fullerton T., Game Design Workshop, 3rd Edition: A Playcentric Approach to Creating Innovative Games, AK Peters/CRC Press, 2014 </w:t>
            </w:r>
          </w:p>
          <w:p w14:paraId="6D419046" w14:textId="77777777" w:rsidR="00EE4EAB" w:rsidRPr="00172B18" w:rsidRDefault="00000000">
            <w:pPr>
              <w:spacing w:after="15"/>
              <w:ind w:left="360" w:firstLine="0"/>
              <w:jc w:val="left"/>
              <w:rPr>
                <w:lang w:val="en-US"/>
              </w:rPr>
            </w:pPr>
            <w:r w:rsidRPr="00172B18">
              <w:rPr>
                <w:sz w:val="18"/>
                <w:lang w:val="en-US"/>
              </w:rPr>
              <w:t xml:space="preserve">Arnowitz J, Arent M., Berger N., Effective Prototyping for Software Makers, Morgan Kaufmann, 2006 </w:t>
            </w:r>
          </w:p>
          <w:p w14:paraId="0748CF95" w14:textId="77777777" w:rsidR="00EE4EAB" w:rsidRPr="00172B18" w:rsidRDefault="00000000">
            <w:pPr>
              <w:spacing w:after="2" w:line="275" w:lineRule="auto"/>
              <w:ind w:left="360" w:firstLine="0"/>
              <w:jc w:val="left"/>
              <w:rPr>
                <w:lang w:val="en-US"/>
              </w:rPr>
            </w:pPr>
            <w:r w:rsidRPr="00172B18">
              <w:rPr>
                <w:sz w:val="18"/>
                <w:lang w:val="en-US"/>
              </w:rPr>
              <w:t xml:space="preserve">Manker J., Game Prototyping – The Negotiation of an Idea, DiGRA '11 - Proceedings of the 2011 DiGRA International Conference: Think Design Play, 2011 </w:t>
            </w:r>
          </w:p>
          <w:p w14:paraId="0F504E3D" w14:textId="77777777" w:rsidR="00EE4EAB" w:rsidRPr="00172B18" w:rsidRDefault="00000000">
            <w:pPr>
              <w:spacing w:after="0" w:line="275" w:lineRule="auto"/>
              <w:ind w:left="360" w:firstLine="0"/>
              <w:rPr>
                <w:lang w:val="en-US"/>
              </w:rPr>
            </w:pPr>
            <w:r w:rsidRPr="00172B18">
              <w:rPr>
                <w:sz w:val="18"/>
                <w:lang w:val="en-US"/>
              </w:rPr>
              <w:t xml:space="preserve">Hagen U., Designing for Player Experience. How Professional Game Developers Communicate Design Visions, Nordic DIGRA, 2010 </w:t>
            </w:r>
          </w:p>
          <w:p w14:paraId="16D63C1A" w14:textId="77777777" w:rsidR="00EE4EAB" w:rsidRPr="00172B18" w:rsidRDefault="00000000">
            <w:pPr>
              <w:spacing w:after="0"/>
              <w:ind w:left="358" w:firstLine="0"/>
              <w:jc w:val="left"/>
              <w:rPr>
                <w:lang w:val="en-US"/>
              </w:rPr>
            </w:pPr>
            <w:r w:rsidRPr="00172B18">
              <w:rPr>
                <w:sz w:val="18"/>
                <w:lang w:val="en-US"/>
              </w:rPr>
              <w:t>Bethke E., Game development and production, Wordware Publishing, 2003</w:t>
            </w:r>
            <w:r w:rsidRPr="00172B18">
              <w:rPr>
                <w:b/>
                <w:sz w:val="18"/>
                <w:lang w:val="en-US"/>
              </w:rPr>
              <w:t xml:space="preserve"> </w:t>
            </w:r>
          </w:p>
        </w:tc>
      </w:tr>
      <w:tr w:rsidR="00EE4EAB" w14:paraId="59E4EEEB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2628DC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7E552DF7" w14:textId="77777777">
        <w:trPr>
          <w:trHeight w:val="2868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E83FD" w14:textId="77777777" w:rsidR="00EE4EAB" w:rsidRDefault="00000000">
            <w:pPr>
              <w:spacing w:after="0" w:line="278" w:lineRule="auto"/>
              <w:ind w:left="0" w:firstLine="0"/>
              <w:jc w:val="left"/>
            </w:pPr>
            <w:r>
              <w:rPr>
                <w:b/>
                <w:sz w:val="18"/>
              </w:rPr>
              <w:t>Student do zaliczenia przedmiotu jest obowiązany przygotować projekt zawierający wskazane mechaniki oraz raportować postępy, a także wykazać frekwencję na poziomie 75%.</w:t>
            </w:r>
            <w:r>
              <w:rPr>
                <w:sz w:val="18"/>
              </w:rPr>
              <w:t xml:space="preserve"> </w:t>
            </w:r>
          </w:p>
          <w:p w14:paraId="480A59DA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b/>
                <w:sz w:val="18"/>
              </w:rPr>
              <w:t>Łącznie do zdobycia w semestrze: 100 punktów, z czego:</w:t>
            </w:r>
            <w:r>
              <w:rPr>
                <w:sz w:val="18"/>
              </w:rPr>
              <w:t xml:space="preserve"> </w:t>
            </w:r>
          </w:p>
          <w:p w14:paraId="5025CAF9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b/>
                <w:sz w:val="18"/>
              </w:rPr>
              <w:t>85 za projekt</w:t>
            </w:r>
            <w:r>
              <w:rPr>
                <w:sz w:val="18"/>
              </w:rPr>
              <w:t xml:space="preserve"> </w:t>
            </w:r>
          </w:p>
          <w:p w14:paraId="54E896EF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b/>
                <w:sz w:val="18"/>
              </w:rPr>
              <w:t>10 za aktywność i raporty</w:t>
            </w:r>
            <w:r>
              <w:rPr>
                <w:sz w:val="18"/>
              </w:rPr>
              <w:t xml:space="preserve"> </w:t>
            </w:r>
          </w:p>
          <w:p w14:paraId="79F33EEA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b/>
                <w:sz w:val="18"/>
              </w:rPr>
              <w:t>5 za dodatkowe mechaniki niewymagane w trakcie projektowania</w:t>
            </w:r>
            <w:r>
              <w:rPr>
                <w:sz w:val="18"/>
              </w:rPr>
              <w:t xml:space="preserve"> </w:t>
            </w:r>
          </w:p>
          <w:p w14:paraId="03C18D06" w14:textId="77777777" w:rsidR="00EE4EAB" w:rsidRDefault="00000000">
            <w:pPr>
              <w:spacing w:after="0" w:line="277" w:lineRule="auto"/>
              <w:ind w:left="0" w:right="207" w:firstLine="0"/>
              <w:jc w:val="left"/>
            </w:pPr>
            <w:r>
              <w:rPr>
                <w:sz w:val="18"/>
              </w:rPr>
              <w:t xml:space="preserve">Podstawą oceny, dla wyżej wymienionych elementów składowych oceny końcowej, będzie odniesienie wyniku uzyskanego przez studenta do następującej skali, gdzie 100% oznacza osiągnięcie w pełni efektów uczenia się w zakresie objętym zaliczeniem: · bardzo dobry – 80%-100% </w:t>
            </w:r>
          </w:p>
          <w:p w14:paraId="334BD5F4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· dobry plus – 69%-79% </w:t>
            </w:r>
          </w:p>
          <w:p w14:paraId="7F5BC30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· dobry – 54%-68% </w:t>
            </w:r>
          </w:p>
        </w:tc>
      </w:tr>
      <w:tr w:rsidR="00EE4EAB" w14:paraId="33CEDB8B" w14:textId="77777777">
        <w:trPr>
          <w:trHeight w:val="1097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11" w:space="0" w:color="D9D9D9"/>
              <w:right w:val="single" w:sz="6" w:space="0" w:color="000000"/>
            </w:tcBorders>
          </w:tcPr>
          <w:p w14:paraId="24D161E1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· dostateczny plus– 52%-53% </w:t>
            </w:r>
          </w:p>
          <w:p w14:paraId="0FA4C60A" w14:textId="77777777" w:rsidR="00EE4EAB" w:rsidRDefault="00000000">
            <w:pPr>
              <w:spacing w:after="0" w:line="275" w:lineRule="auto"/>
              <w:ind w:left="1" w:right="7430" w:firstLine="0"/>
              <w:jc w:val="left"/>
            </w:pPr>
            <w:r>
              <w:rPr>
                <w:sz w:val="18"/>
              </w:rPr>
              <w:t>· dostateczny – 50%-61% · niedostateczny poniżej 50%.</w:t>
            </w:r>
            <w:r>
              <w:rPr>
                <w:b/>
                <w:sz w:val="18"/>
              </w:rPr>
              <w:t xml:space="preserve"> </w:t>
            </w:r>
          </w:p>
          <w:p w14:paraId="3F4E242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1FB218B0" w14:textId="77777777">
        <w:trPr>
          <w:trHeight w:val="310"/>
        </w:trPr>
        <w:tc>
          <w:tcPr>
            <w:tcW w:w="27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1C92D61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892" w:type="dxa"/>
            <w:gridSpan w:val="5"/>
            <w:tcBorders>
              <w:top w:val="single" w:sz="11" w:space="0" w:color="D9D9D9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3DDE9976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70F5B4A5" w14:textId="77777777">
        <w:trPr>
          <w:trHeight w:val="81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E69E318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doub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F39CA51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300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7133A8D" w14:textId="77777777" w:rsidR="00EE4EAB" w:rsidRDefault="00000000">
            <w:pPr>
              <w:spacing w:after="17"/>
              <w:ind w:left="11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77BA04BE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293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654DED7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7173D84E" w14:textId="77777777">
        <w:trPr>
          <w:trHeight w:val="340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01647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30370D7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b/>
                <w:sz w:val="18"/>
              </w:rPr>
              <w:t xml:space="preserve">2 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60CDA25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1,2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619A8F7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2 </w:t>
            </w:r>
          </w:p>
        </w:tc>
      </w:tr>
      <w:tr w:rsidR="00EE4EAB" w14:paraId="1212C2EF" w14:textId="77777777">
        <w:trPr>
          <w:trHeight w:val="339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043E1A9B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5D8F5FEF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b/>
                <w:sz w:val="18"/>
              </w:rPr>
              <w:t xml:space="preserve">2 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6060336E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0,7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65A1FA78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2 </w:t>
            </w:r>
          </w:p>
        </w:tc>
      </w:tr>
      <w:tr w:rsidR="00EE4EAB" w14:paraId="79D9C3E5" w14:textId="77777777">
        <w:trPr>
          <w:trHeight w:val="297"/>
        </w:trPr>
        <w:tc>
          <w:tcPr>
            <w:tcW w:w="9658" w:type="dxa"/>
            <w:gridSpan w:val="6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CD0F88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12A5454E" w14:textId="77777777">
        <w:trPr>
          <w:trHeight w:val="398"/>
        </w:trPr>
        <w:tc>
          <w:tcPr>
            <w:tcW w:w="276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323D332F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6892" w:type="dxa"/>
            <w:gridSpan w:val="5"/>
            <w:tcBorders>
              <w:top w:val="single" w:sz="4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70E169D0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50 godzin </w:t>
            </w:r>
          </w:p>
        </w:tc>
      </w:tr>
      <w:tr w:rsidR="00EE4EAB" w14:paraId="7FFDD42F" w14:textId="77777777">
        <w:trPr>
          <w:trHeight w:val="413"/>
        </w:trPr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696074CF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6892" w:type="dxa"/>
            <w:gridSpan w:val="5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346E213C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50 godzin </w:t>
            </w:r>
          </w:p>
        </w:tc>
      </w:tr>
      <w:tr w:rsidR="00EE4EAB" w14:paraId="3F236EE4" w14:textId="77777777" w:rsidTr="00172B18">
        <w:trPr>
          <w:trHeight w:val="315"/>
        </w:trPr>
        <w:tc>
          <w:tcPr>
            <w:tcW w:w="27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7C203A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79135C8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6D0D990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53770B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AEBB248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6081DFD7" w14:textId="77777777" w:rsidTr="00172B18">
        <w:trPr>
          <w:trHeight w:val="3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D61E8AF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02862D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45660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2884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2D8BF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3022E348" w14:textId="77777777" w:rsidTr="00172B18">
        <w:trPr>
          <w:trHeight w:val="5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1752DBE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768CEC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Przygotowanie własnego projektu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192C4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20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8475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D4A74C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74060D1" w14:textId="77777777" w:rsidTr="00172B18">
        <w:trPr>
          <w:trHeight w:val="34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5FE5F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AAC6BB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CFFDB" w14:textId="77777777" w:rsidR="00EE4EAB" w:rsidRDefault="00000000">
            <w:pPr>
              <w:spacing w:after="0"/>
              <w:ind w:left="51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04D2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B92ED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427A0795" w14:textId="77777777" w:rsidTr="00172B18">
        <w:trPr>
          <w:trHeight w:val="301"/>
        </w:trPr>
        <w:tc>
          <w:tcPr>
            <w:tcW w:w="27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BCF202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4110CC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D23DFF9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454175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910542D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0E4C5E76" w14:textId="77777777" w:rsidTr="00172B18">
        <w:trPr>
          <w:trHeight w:val="3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E81B2AC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05EA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B20C6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18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5476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16E2C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121C89F" w14:textId="77777777" w:rsidTr="00172B18">
        <w:trPr>
          <w:trHeight w:val="5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2D08B7E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4243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Przygotowanie własnego projektu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6DF161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32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1CDD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D25C0B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748BAA1" w14:textId="77777777" w:rsidTr="00172B18">
        <w:trPr>
          <w:trHeight w:val="33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A3F33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758C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603A0" w14:textId="77777777" w:rsidR="00EE4EAB" w:rsidRDefault="00000000">
            <w:pPr>
              <w:spacing w:after="0"/>
              <w:ind w:left="51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3C96093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62EBB341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1814C01C" w14:textId="77777777" w:rsidTr="00172B18">
        <w:trPr>
          <w:trHeight w:val="302"/>
        </w:trPr>
        <w:tc>
          <w:tcPr>
            <w:tcW w:w="62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0C2C693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3442" w:type="dxa"/>
            <w:gridSpan w:val="3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ECC20D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</w:tr>
    </w:tbl>
    <w:p w14:paraId="68D6B3D3" w14:textId="77777777" w:rsidR="00EE4EAB" w:rsidRDefault="00000000">
      <w:pPr>
        <w:spacing w:after="29"/>
        <w:ind w:left="0" w:right="789" w:firstLine="0"/>
        <w:jc w:val="right"/>
      </w:pPr>
      <w:r>
        <w:rPr>
          <w:sz w:val="18"/>
        </w:rPr>
        <w:t xml:space="preserve"> </w:t>
      </w:r>
    </w:p>
    <w:p w14:paraId="0FBD8317" w14:textId="77777777" w:rsidR="00EE4EAB" w:rsidRDefault="00000000">
      <w:pPr>
        <w:spacing w:after="0"/>
        <w:ind w:left="0" w:firstLine="0"/>
        <w:jc w:val="left"/>
      </w:pPr>
      <w:r>
        <w:rPr>
          <w:sz w:val="18"/>
        </w:rPr>
        <w:t xml:space="preserve">  </w:t>
      </w:r>
      <w:r>
        <w:rPr>
          <w:sz w:val="18"/>
        </w:rPr>
        <w:tab/>
        <w:t xml:space="preserve"> </w:t>
      </w: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